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6" w:name="Xd55c58077fa7652fd807b84f05dce8f3c5026c8"/>
    <w:p>
      <w:pPr>
        <w:pStyle w:val="Heading2"/>
      </w:pPr>
      <w:r>
        <w:t xml:space="preserve">Processo n.º 2023/0456 – Burla Informática por Phishing – Transferências Fraudulentas de</w:t>
      </w:r>
      <w:r>
        <w:t xml:space="preserve"> </w:t>
      </w:r>
      <w:r>
        <w:rPr>
          <w:b/>
          <w:bCs/>
        </w:rPr>
        <w:t xml:space="preserve">€ 32 000,00</w:t>
      </w:r>
    </w:p>
    <w:p>
      <w:pPr>
        <w:pStyle w:val="FirstParagraph"/>
      </w:pPr>
      <w:r>
        <w:rPr>
          <w:b/>
          <w:bCs/>
        </w:rPr>
        <w:t xml:space="preserve">Ex.mo Sr. Juiz de Instrução Criminal nº 4 do Tribunal Judicial de Lisboa</w:t>
      </w:r>
    </w:p>
    <w:bookmarkStart w:id="15" w:name="X1b004620d58a16a7388208446115d93126d94ad"/>
    <w:p>
      <w:pPr>
        <w:pStyle w:val="Heading3"/>
      </w:pPr>
      <w:r>
        <w:rPr>
          <w:b/>
          <w:bCs/>
        </w:rPr>
        <w:t xml:space="preserve">Pedido de Revisão da Sentença – Erro de Facto</w:t>
      </w:r>
    </w:p>
    <w:p>
      <w:pPr>
        <w:pStyle w:val="FirstParagraph"/>
      </w:pPr>
      <w:r>
        <w:rPr>
          <w:b/>
          <w:bCs/>
        </w:rPr>
        <w:t xml:space="preserve">Autor:</w:t>
      </w:r>
      <w:r>
        <w:t xml:space="preserve"> </w:t>
      </w:r>
      <w:r>
        <w:t xml:space="preserve">Ministério Público, com sede na Av. das Nações Unidas, 5 – 1990‑083 Lisboa, NIF</w:t>
      </w:r>
      <w:r>
        <w:t xml:space="preserve"> </w:t>
      </w:r>
      <w:r>
        <w:rPr>
          <w:b/>
          <w:bCs/>
        </w:rPr>
        <w:t xml:space="preserve">500 123 456</w:t>
      </w:r>
      <w:r>
        <w:br/>
      </w:r>
      <w:r>
        <w:rPr>
          <w:b/>
          <w:bCs/>
        </w:rPr>
        <w:t xml:space="preserve">Réu:</w:t>
      </w:r>
      <w:r>
        <w:t xml:space="preserve"> </w:t>
      </w:r>
      <w:r>
        <w:t xml:space="preserve">João da Silva, residente na Rua da Boavista, nº 45, 2.º Dto., 1200‑067 Lisboa, NIF</w:t>
      </w:r>
      <w:r>
        <w:t xml:space="preserve"> </w:t>
      </w:r>
      <w:r>
        <w:rPr>
          <w:b/>
          <w:bCs/>
        </w:rPr>
        <w:t xml:space="preserve">123 456 789</w:t>
      </w:r>
      <w:r>
        <w:br/>
      </w:r>
      <w:r>
        <w:rPr>
          <w:b/>
          <w:bCs/>
        </w:rPr>
        <w:t xml:space="preserve">Mandatários:</w:t>
      </w:r>
      <w:r>
        <w:br/>
      </w:r>
      <w:r>
        <w:t xml:space="preserve">- Dr. Marta Santos – Procuradora do Ministério Público, OA 54321</w:t>
      </w:r>
      <w:r>
        <w:br/>
      </w:r>
      <w:r>
        <w:t xml:space="preserve">- Dr. Ana Pereira – Advogada de defesa, OA 12345 (representando o réu)</w:t>
      </w:r>
      <w:r>
        <w:br/>
      </w:r>
      <w:r>
        <w:t xml:space="preserve">- Dr. Luís Carvalho – Advogado de defesa, OA 67890 (representando o réu)</w:t>
      </w:r>
    </w:p>
    <w:p>
      <w:pPr>
        <w:pStyle w:val="BodyText"/>
      </w:pPr>
      <w:r>
        <w:t xml:space="preserve">Lisboa,</w:t>
      </w:r>
      <w:r>
        <w:t xml:space="preserve"> </w:t>
      </w:r>
      <w:r>
        <w:rPr>
          <w:b/>
          <w:bCs/>
        </w:rPr>
        <w:t xml:space="preserve">15 de março de 2024</w:t>
      </w:r>
    </w:p>
    <w:p>
      <w:r>
        <w:pict>
          <v:rect style="width:0;height:1.5pt" o:hralign="center" o:hrstd="t" o:hr="t"/>
        </w:pict>
      </w:r>
    </w:p>
    <w:bookmarkStart w:id="9" w:name="i.-exposição-dos-factos"/>
    <w:p>
      <w:pPr>
        <w:pStyle w:val="Heading4"/>
      </w:pPr>
      <w:r>
        <w:t xml:space="preserve">I. Exposição dos Factos</w:t>
      </w:r>
    </w:p>
    <w:p>
      <w:pPr>
        <w:numPr>
          <w:ilvl w:val="0"/>
          <w:numId w:val="1001"/>
        </w:numPr>
      </w:pPr>
      <w:r>
        <w:t xml:space="preserve">Em</w:t>
      </w:r>
      <w:r>
        <w:t xml:space="preserve"> </w:t>
      </w:r>
      <w:r>
        <w:rPr>
          <w:b/>
          <w:bCs/>
        </w:rPr>
        <w:t xml:space="preserve">10, 15, 20 e 25 de março de 2023</w:t>
      </w:r>
      <w:r>
        <w:t xml:space="preserve">, o réu João da Silva praticou, com a utilização de técnicas de</w:t>
      </w:r>
      <w:r>
        <w:t xml:space="preserve"> </w:t>
      </w:r>
      <w:r>
        <w:rPr>
          <w:i/>
          <w:iCs/>
        </w:rPr>
        <w:t xml:space="preserve">phishing</w:t>
      </w:r>
      <w:r>
        <w:t xml:space="preserve">, a transferência fraudulenta de</w:t>
      </w:r>
      <w:r>
        <w:t xml:space="preserve"> </w:t>
      </w:r>
      <w:r>
        <w:rPr>
          <w:b/>
          <w:bCs/>
        </w:rPr>
        <w:t xml:space="preserve">€ 32 000,00</w:t>
      </w:r>
      <w:r>
        <w:t xml:space="preserve"> </w:t>
      </w:r>
      <w:r>
        <w:t xml:space="preserve">da conta bancária da Sra. Maria Fernandes (NIB 0035 1234 5678 9100 0000) para contas controladas por terceiros, configurando a infração prevista no</w:t>
      </w:r>
      <w:r>
        <w:t xml:space="preserve"> </w:t>
      </w:r>
      <w:r>
        <w:rPr>
          <w:b/>
          <w:bCs/>
        </w:rPr>
        <w:t xml:space="preserve">artigo 217.º do Código Penal</w:t>
      </w:r>
      <w:r>
        <w:t xml:space="preserve"> </w:t>
      </w:r>
      <w:r>
        <w:t xml:space="preserve">(burla informática).</w:t>
      </w:r>
    </w:p>
    <w:p>
      <w:pPr>
        <w:numPr>
          <w:ilvl w:val="0"/>
          <w:numId w:val="1001"/>
        </w:numPr>
      </w:pPr>
      <w:r>
        <w:t xml:space="preserve">Na sentença proferida em</w:t>
      </w:r>
      <w:r>
        <w:t xml:space="preserve"> </w:t>
      </w:r>
      <w:r>
        <w:rPr>
          <w:b/>
          <w:bCs/>
        </w:rPr>
        <w:t xml:space="preserve">12 de janeiro de 2024</w:t>
      </w:r>
      <w:r>
        <w:t xml:space="preserve">, o tribunal condenou o réu à pena de</w:t>
      </w:r>
      <w:r>
        <w:t xml:space="preserve"> </w:t>
      </w:r>
      <w:r>
        <w:rPr>
          <w:b/>
          <w:bCs/>
        </w:rPr>
        <w:t xml:space="preserve">3 (três) anos de prisão efetiva</w:t>
      </w:r>
      <w:r>
        <w:t xml:space="preserve">,</w:t>
      </w:r>
      <w:r>
        <w:t xml:space="preserve"> </w:t>
      </w:r>
      <w:r>
        <w:rPr>
          <w:b/>
          <w:bCs/>
        </w:rPr>
        <w:t xml:space="preserve">multas no valor de € 10 000,00</w:t>
      </w:r>
      <w:r>
        <w:t xml:space="preserve">, e à reparação do dano no montante total de</w:t>
      </w:r>
      <w:r>
        <w:t xml:space="preserve"> </w:t>
      </w:r>
      <w:r>
        <w:rPr>
          <w:b/>
          <w:bCs/>
        </w:rPr>
        <w:t xml:space="preserve">€ 32 000,00</w:t>
      </w:r>
      <w:r>
        <w:t xml:space="preserve">.</w:t>
      </w:r>
    </w:p>
    <w:p>
      <w:pPr>
        <w:numPr>
          <w:ilvl w:val="0"/>
          <w:numId w:val="1001"/>
        </w:numPr>
      </w:pPr>
      <w:r>
        <w:t xml:space="preserve">A decisão foi fundamentada, entre outros elementos, na análise dos registos de acesso ao e‑mail da Sra. Maria Fernandes, bem como nas capturas de ecrã apresentadas pela acusação.</w:t>
      </w:r>
    </w:p>
    <w:bookmarkEnd w:id="9"/>
    <w:bookmarkStart w:id="10" w:name="ii.-novo-elemento-probatório-emergente"/>
    <w:p>
      <w:pPr>
        <w:pStyle w:val="Heading4"/>
      </w:pPr>
      <w:r>
        <w:t xml:space="preserve">II. Novo Elemento Probatório Emergente</w:t>
      </w:r>
    </w:p>
    <w:p>
      <w:pPr>
        <w:numPr>
          <w:ilvl w:val="0"/>
          <w:numId w:val="1002"/>
        </w:numPr>
      </w:pPr>
      <w:r>
        <w:t xml:space="preserve">No decurso da fase de execução da pena, a Autoridade Nacional de Segurança (ANS) procedeu à análise de um conjunto de registos de tráfego de rede que, até ao presente momento, não estavam disponíveis nos autos. Esses registos, obtidos em</w:t>
      </w:r>
      <w:r>
        <w:t xml:space="preserve"> </w:t>
      </w:r>
      <w:r>
        <w:rPr>
          <w:b/>
          <w:bCs/>
        </w:rPr>
        <w:t xml:space="preserve">5 de fevereiro de 2024</w:t>
      </w:r>
      <w:r>
        <w:t xml:space="preserve">, revelam que o endereço IP</w:t>
      </w:r>
      <w:r>
        <w:t xml:space="preserve"> </w:t>
      </w:r>
      <w:r>
        <w:rPr>
          <w:b/>
          <w:bCs/>
        </w:rPr>
        <w:t xml:space="preserve">185.23.112.78</w:t>
      </w:r>
      <w:r>
        <w:t xml:space="preserve">, atribuído ao réu, foi, na realidade,</w:t>
      </w:r>
      <w:r>
        <w:t xml:space="preserve"> </w:t>
      </w:r>
      <w:r>
        <w:rPr>
          <w:b/>
          <w:bCs/>
        </w:rPr>
        <w:t xml:space="preserve">utilizado por um terceiro desconhecido</w:t>
      </w:r>
      <w:r>
        <w:t xml:space="preserve"> </w:t>
      </w:r>
      <w:r>
        <w:t xml:space="preserve">que, mediante o uso de um</w:t>
      </w:r>
      <w:r>
        <w:t xml:space="preserve"> </w:t>
      </w:r>
      <w:r>
        <w:rPr>
          <w:i/>
          <w:iCs/>
        </w:rPr>
        <w:t xml:space="preserve">proxy</w:t>
      </w:r>
      <w:r>
        <w:t xml:space="preserve"> </w:t>
      </w:r>
      <w:r>
        <w:t xml:space="preserve">anónimo, realizou as operações de</w:t>
      </w:r>
      <w:r>
        <w:t xml:space="preserve"> </w:t>
      </w:r>
      <w:r>
        <w:rPr>
          <w:i/>
          <w:iCs/>
        </w:rPr>
        <w:t xml:space="preserve">phishing</w:t>
      </w:r>
      <w:r>
        <w:t xml:space="preserve">.</w:t>
      </w:r>
    </w:p>
    <w:p>
      <w:pPr>
        <w:numPr>
          <w:ilvl w:val="0"/>
          <w:numId w:val="1002"/>
        </w:numPr>
      </w:pPr>
      <w:r>
        <w:t xml:space="preserve">O relatório pericial, elaborado pelo perito informático da ANS, Dr. Rui Mendes, consta das seguintes conclusões essenciais: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950"/>
        <w:gridCol w:w="3484"/>
        <w:gridCol w:w="34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Conclusão</w:t>
            </w:r>
          </w:p>
        </w:tc>
        <w:tc>
          <w:tcPr/>
          <w:p>
            <w:pPr>
              <w:pStyle w:val="Compact"/>
            </w:pPr>
            <w:r>
              <w:t xml:space="preserve">Evidência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O IP</w:t>
            </w:r>
            <w:r>
              <w:t xml:space="preserve"> </w:t>
            </w:r>
            <w:r>
              <w:rPr>
                <w:b/>
                <w:bCs/>
              </w:rPr>
              <w:t xml:space="preserve">185.23.112.78</w:t>
            </w:r>
            <w:r>
              <w:t xml:space="preserve"> </w:t>
            </w:r>
            <w:r>
              <w:t xml:space="preserve">foi associado, entre 8 e 26 de março de 2023, a um serviço de</w:t>
            </w:r>
            <w:r>
              <w:t xml:space="preserve"> </w:t>
            </w:r>
            <w:r>
              <w:rPr>
                <w:i/>
                <w:iCs/>
              </w:rPr>
              <w:t xml:space="preserve">VPN</w:t>
            </w:r>
            <w:r>
              <w:t xml:space="preserve"> </w:t>
            </w:r>
            <w:r>
              <w:t xml:space="preserve">operado por empresa estrangeira “SecureTunnel Ltd.”</w:t>
            </w:r>
          </w:p>
        </w:tc>
        <w:tc>
          <w:tcPr/>
          <w:p>
            <w:pPr>
              <w:pStyle w:val="Compact"/>
            </w:pPr>
            <w:r>
              <w:t xml:space="preserve">Registo de logs da VPN (anexo I)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O tráfego de dados mostra que o e‑mail enviado à Sra. Maria Fernandes foi encaminhado a partir de um servidor localizado em</w:t>
            </w:r>
            <w:r>
              <w:t xml:space="preserve"> </w:t>
            </w:r>
            <w:r>
              <w:rPr>
                <w:b/>
                <w:bCs/>
              </w:rPr>
              <w:t xml:space="preserve">Varsóvia, Polónia</w:t>
            </w:r>
          </w:p>
        </w:tc>
        <w:tc>
          <w:tcPr/>
          <w:p>
            <w:pPr>
              <w:pStyle w:val="Compact"/>
            </w:pPr>
            <w:r>
              <w:t xml:space="preserve">Captura de pacotes (anexo II)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Não há correlação entre o horário de login do réu (Lisboa) e o horário de envio das mensagens fraudulentas (UTC + 1)</w:t>
            </w:r>
          </w:p>
        </w:tc>
        <w:tc>
          <w:tcPr/>
          <w:p>
            <w:pPr>
              <w:pStyle w:val="Compact"/>
            </w:pPr>
            <w:r>
              <w:t xml:space="preserve">Análise de timestamps (anexo III)</w:t>
            </w:r>
          </w:p>
        </w:tc>
      </w:tr>
    </w:tbl>
    <w:p>
      <w:pPr>
        <w:pStyle w:val="Compact"/>
        <w:numPr>
          <w:ilvl w:val="0"/>
          <w:numId w:val="1003"/>
        </w:numPr>
      </w:pPr>
      <w:r>
        <w:t xml:space="preserve">Estes documentos demonstram, de forma inequívoca, que a autoria material do crime não pode ser atribuída ao réu João da Silva, constituindo, assim,</w:t>
      </w:r>
      <w:r>
        <w:t xml:space="preserve"> </w:t>
      </w:r>
      <w:r>
        <w:rPr>
          <w:b/>
          <w:bCs/>
        </w:rPr>
        <w:t xml:space="preserve">erro de facto</w:t>
      </w:r>
      <w:r>
        <w:t xml:space="preserve"> </w:t>
      </w:r>
      <w:r>
        <w:t xml:space="preserve">na decisão condenatória.</w:t>
      </w:r>
    </w:p>
    <w:bookmarkEnd w:id="10"/>
    <w:bookmarkStart w:id="11" w:name="iii.-fundamentação-jurídica"/>
    <w:p>
      <w:pPr>
        <w:pStyle w:val="Heading4"/>
      </w:pPr>
      <w:r>
        <w:t xml:space="preserve">III. Fundamentação Jurídica</w:t>
      </w:r>
    </w:p>
    <w:p>
      <w:pPr>
        <w:numPr>
          <w:ilvl w:val="0"/>
          <w:numId w:val="1004"/>
        </w:numPr>
      </w:pPr>
      <w:r>
        <w:t xml:space="preserve">O pedido ora formulado encontra amparo no</w:t>
      </w:r>
      <w:r>
        <w:t xml:space="preserve"> </w:t>
      </w:r>
      <w:r>
        <w:rPr>
          <w:b/>
          <w:bCs/>
        </w:rPr>
        <w:t xml:space="preserve">artigo 382.º do Código de Processo Civil</w:t>
      </w:r>
      <w:r>
        <w:t xml:space="preserve">, que dispõe sobre a</w:t>
      </w:r>
      <w:r>
        <w:t xml:space="preserve"> </w:t>
      </w:r>
      <w:r>
        <w:rPr>
          <w:i/>
          <w:iCs/>
        </w:rPr>
        <w:t xml:space="preserve">revisão de sentenças</w:t>
      </w:r>
      <w:r>
        <w:t xml:space="preserve"> </w:t>
      </w:r>
      <w:r>
        <w:t xml:space="preserve">quando se verifiquem</w:t>
      </w:r>
      <w:r>
        <w:t xml:space="preserve"> </w:t>
      </w:r>
      <w:r>
        <w:rPr>
          <w:b/>
          <w:bCs/>
        </w:rPr>
        <w:t xml:space="preserve">erro de facto</w:t>
      </w:r>
      <w:r>
        <w:t xml:space="preserve"> </w:t>
      </w:r>
      <w:r>
        <w:t xml:space="preserve">ou</w:t>
      </w:r>
      <w:r>
        <w:t xml:space="preserve"> </w:t>
      </w:r>
      <w:r>
        <w:rPr>
          <w:b/>
          <w:bCs/>
        </w:rPr>
        <w:t xml:space="preserve">novas provas</w:t>
      </w:r>
      <w:r>
        <w:t xml:space="preserve"> </w:t>
      </w:r>
      <w:r>
        <w:t xml:space="preserve">que, se conhecidas no momento da decisão, teriam influenciado o seu resultado.</w:t>
      </w:r>
    </w:p>
    <w:p>
      <w:pPr>
        <w:numPr>
          <w:ilvl w:val="0"/>
          <w:numId w:val="1004"/>
        </w:numPr>
      </w:pPr>
      <w:r>
        <w:t xml:space="preserve">O princípio da</w:t>
      </w:r>
      <w:r>
        <w:t xml:space="preserve"> </w:t>
      </w:r>
      <w:r>
        <w:rPr>
          <w:b/>
          <w:bCs/>
        </w:rPr>
        <w:t xml:space="preserve">verdade material</w:t>
      </w:r>
      <w:r>
        <w:t xml:space="preserve">, consagrado no</w:t>
      </w:r>
      <w:r>
        <w:t xml:space="preserve"> </w:t>
      </w:r>
      <w:r>
        <w:rPr>
          <w:b/>
          <w:bCs/>
        </w:rPr>
        <w:t xml:space="preserve">artigo 5.º da Constituição da República Portuguesa</w:t>
      </w:r>
      <w:r>
        <w:t xml:space="preserve">, impõe ao tribunal a obrigação de corrigir decisões que se baseiam em factos incorretos, assegurando a justiça e a proteção dos direitos fundamentais.</w:t>
      </w:r>
    </w:p>
    <w:p>
      <w:pPr>
        <w:numPr>
          <w:ilvl w:val="0"/>
          <w:numId w:val="1004"/>
        </w:numPr>
      </w:pPr>
      <w:r>
        <w:t xml:space="preserve">A jurisprudência do Supremo Tribunal de Justiça (Acórdão n.º 1234/21.5T8LSB, de 30 de setembro de 2021) reconhece que a existência de provas que excluam a autoria do réu constitui causa suficiente para a revisão de sentença, ainda que a condenação já tenha sido executada.</w:t>
      </w:r>
    </w:p>
    <w:bookmarkEnd w:id="11"/>
    <w:bookmarkStart w:id="12" w:name="iv.-pedidos"/>
    <w:p>
      <w:pPr>
        <w:pStyle w:val="Heading4"/>
      </w:pPr>
      <w:r>
        <w:t xml:space="preserve">IV. Pedidos</w:t>
      </w:r>
    </w:p>
    <w:p>
      <w:pPr>
        <w:pStyle w:val="FirstParagraph"/>
      </w:pPr>
      <w:r>
        <w:t xml:space="preserve">Em face do exposto, requer o Ministério Público, com fundamento no</w:t>
      </w:r>
      <w:r>
        <w:t xml:space="preserve"> </w:t>
      </w:r>
      <w:r>
        <w:rPr>
          <w:b/>
          <w:bCs/>
        </w:rPr>
        <w:t xml:space="preserve">artigo 382.º do CPC</w:t>
      </w:r>
      <w:r>
        <w:t xml:space="preserve"> </w:t>
      </w:r>
      <w:r>
        <w:t xml:space="preserve">e nos princípios constitucionais aplicáveis, a V. Exa.: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admissão do presente pedido de revisão</w:t>
      </w:r>
      <w:r>
        <w:t xml:space="preserve"> </w:t>
      </w:r>
      <w:r>
        <w:t xml:space="preserve">da sentença proferida em</w:t>
      </w:r>
      <w:r>
        <w:t xml:space="preserve"> </w:t>
      </w:r>
      <w:r>
        <w:rPr>
          <w:b/>
          <w:bCs/>
        </w:rPr>
        <w:t xml:space="preserve">12 de janeiro de 2024</w:t>
      </w:r>
      <w:r>
        <w:t xml:space="preserve">, por erro de facto, com base nas novas provas apresentadas;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anulação da condenação penal</w:t>
      </w:r>
      <w:r>
        <w:t xml:space="preserve"> </w:t>
      </w:r>
      <w:r>
        <w:t xml:space="preserve">imposta a João da Silva, com a consequente extinção das penas de prisão e multa, bem como a revogação da obrigação de reparação de € 32 000,00;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restituição ao réu dos valores já pagos a título de multa e indemnização</w:t>
      </w:r>
      <w:r>
        <w:t xml:space="preserve">, acrescidos de juros legais desde a data do pagamento, nos termos do</w:t>
      </w:r>
      <w:r>
        <w:t xml:space="preserve"> </w:t>
      </w:r>
      <w:r>
        <w:rPr>
          <w:b/>
          <w:bCs/>
        </w:rPr>
        <w:t xml:space="preserve">artigo 782.º do CPC</w:t>
      </w:r>
      <w:r>
        <w:t xml:space="preserve">;</w:t>
      </w:r>
    </w:p>
    <w:p>
      <w:pPr>
        <w:numPr>
          <w:ilvl w:val="0"/>
          <w:numId w:val="1005"/>
        </w:numPr>
      </w:pPr>
      <w:r>
        <w:rPr>
          <w:b/>
          <w:bCs/>
        </w:rPr>
        <w:t xml:space="preserve">A comunicação da decisão de revisão</w:t>
      </w:r>
      <w:r>
        <w:t xml:space="preserve"> </w:t>
      </w:r>
      <w:r>
        <w:t xml:space="preserve">ao Ministério da Justiça, à Autoridade Nacional de Segurança e à entidade bancária envolvida, para os devidos efeitos de cancelamento de registos de débito e bloqueio de contas.</w:t>
      </w:r>
    </w:p>
    <w:bookmarkEnd w:id="12"/>
    <w:bookmarkStart w:id="13" w:name="v.-provas-e-documentos-anexos"/>
    <w:p>
      <w:pPr>
        <w:pStyle w:val="Heading4"/>
      </w:pPr>
      <w:r>
        <w:t xml:space="preserve">V. Provas e Documentos Anexos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848"/>
        <w:gridCol w:w="2904"/>
        <w:gridCol w:w="3168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Anexo</w:t>
            </w:r>
          </w:p>
        </w:tc>
        <w:tc>
          <w:tcPr/>
          <w:p>
            <w:pPr>
              <w:pStyle w:val="Compact"/>
            </w:pPr>
            <w:r>
              <w:t xml:space="preserve">Descrição</w:t>
            </w:r>
          </w:p>
        </w:tc>
        <w:tc>
          <w:tcPr/>
          <w:p>
            <w:pPr>
              <w:pStyle w:val="Compact"/>
            </w:pPr>
            <w:r>
              <w:t xml:space="preserve">Relevância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I</w:t>
            </w:r>
          </w:p>
        </w:tc>
        <w:tc>
          <w:tcPr/>
          <w:p>
            <w:pPr>
              <w:pStyle w:val="Compact"/>
            </w:pPr>
            <w:r>
              <w:t xml:space="preserve">Logs da VPN “SecureTunnel Ltd.” (período 8‑26 / 03 / 2023)</w:t>
            </w:r>
          </w:p>
        </w:tc>
        <w:tc>
          <w:tcPr/>
          <w:p>
            <w:pPr>
              <w:pStyle w:val="Compact"/>
            </w:pPr>
            <w:r>
              <w:t xml:space="preserve">Prova da utilização de proxy por terceiro</w:t>
            </w:r>
          </w:p>
        </w:tc>
      </w:tr>
      <w:tr>
        <w:tc>
          <w:tcPr/>
          <w:p>
            <w:pPr>
              <w:pStyle w:val="Compact"/>
            </w:pPr>
            <w:r>
              <w:t xml:space="preserve">II</w:t>
            </w:r>
          </w:p>
        </w:tc>
        <w:tc>
          <w:tcPr/>
          <w:p>
            <w:pPr>
              <w:pStyle w:val="Compact"/>
            </w:pPr>
            <w:r>
              <w:t xml:space="preserve">Captura de pacotes de tráfego (server Varsóvia)</w:t>
            </w:r>
          </w:p>
        </w:tc>
        <w:tc>
          <w:tcPr/>
          <w:p>
            <w:pPr>
              <w:pStyle w:val="Compact"/>
            </w:pPr>
            <w:r>
              <w:t xml:space="preserve">Identificação do local de origem dos e‑mails</w:t>
            </w:r>
          </w:p>
        </w:tc>
      </w:tr>
      <w:tr>
        <w:tc>
          <w:tcPr/>
          <w:p>
            <w:pPr>
              <w:pStyle w:val="Compact"/>
            </w:pPr>
            <w:r>
              <w:t xml:space="preserve">III</w:t>
            </w:r>
          </w:p>
        </w:tc>
        <w:tc>
          <w:tcPr/>
          <w:p>
            <w:pPr>
              <w:pStyle w:val="Compact"/>
            </w:pPr>
            <w:r>
              <w:t xml:space="preserve">Análise de timestamps comparativa (login réu vs. envio)</w:t>
            </w:r>
          </w:p>
        </w:tc>
        <w:tc>
          <w:tcPr/>
          <w:p>
            <w:pPr>
              <w:pStyle w:val="Compact"/>
            </w:pPr>
            <w:r>
              <w:t xml:space="preserve">Demonstração da impossibilidade de autoria</w:t>
            </w:r>
          </w:p>
        </w:tc>
      </w:tr>
      <w:tr>
        <w:tc>
          <w:tcPr/>
          <w:p>
            <w:pPr>
              <w:pStyle w:val="Compact"/>
            </w:pPr>
            <w:r>
              <w:t xml:space="preserve">IV</w:t>
            </w:r>
          </w:p>
        </w:tc>
        <w:tc>
          <w:tcPr/>
          <w:p>
            <w:pPr>
              <w:pStyle w:val="Compact"/>
            </w:pPr>
            <w:r>
              <w:t xml:space="preserve">Parecer pericial do Dr. Rui Mendes (ANS)</w:t>
            </w:r>
          </w:p>
        </w:tc>
        <w:tc>
          <w:tcPr/>
          <w:p>
            <w:pPr>
              <w:pStyle w:val="Compact"/>
            </w:pPr>
            <w:r>
              <w:t xml:space="preserve">Conclusões técnicas que sustentam o erro de facto</w:t>
            </w:r>
          </w:p>
        </w:tc>
      </w:tr>
      <w:tr>
        <w:tc>
          <w:tcPr/>
          <w:p>
            <w:pPr>
              <w:pStyle w:val="Compact"/>
            </w:pPr>
            <w:r>
              <w:t xml:space="preserve">V</w:t>
            </w:r>
          </w:p>
        </w:tc>
        <w:tc>
          <w:tcPr/>
          <w:p>
            <w:pPr>
              <w:pStyle w:val="Compact"/>
            </w:pPr>
            <w:r>
              <w:t xml:space="preserve">Cópia da sentença condenatória (12 / 01 / 2024)</w:t>
            </w:r>
          </w:p>
        </w:tc>
        <w:tc>
          <w:tcPr/>
          <w:p>
            <w:pPr>
              <w:pStyle w:val="Compact"/>
            </w:pPr>
            <w:r>
              <w:t xml:space="preserve">Referência da decisão a ser revista</w:t>
            </w:r>
          </w:p>
        </w:tc>
      </w:tr>
    </w:tbl>
    <w:bookmarkEnd w:id="13"/>
    <w:bookmarkStart w:id="14" w:name="vi.-conclusão"/>
    <w:p>
      <w:pPr>
        <w:pStyle w:val="Heading4"/>
      </w:pPr>
      <w:r>
        <w:t xml:space="preserve">VI. Conclusão</w:t>
      </w:r>
    </w:p>
    <w:p>
      <w:pPr>
        <w:numPr>
          <w:ilvl w:val="0"/>
          <w:numId w:val="1006"/>
        </w:numPr>
      </w:pPr>
      <w:r>
        <w:t xml:space="preserve">O Ministério Público tem a responsabilidade de assegurar que a justiça seja aplicada de forma correta e equitativa. A existência de provas que excluem a responsabilidade penal de João da Silva impõe a necessidade de revisão da sentença, sob pena de manutenção de uma decisão manifestamente injusta.</w:t>
      </w:r>
    </w:p>
    <w:p>
      <w:pPr>
        <w:numPr>
          <w:ilvl w:val="0"/>
          <w:numId w:val="1006"/>
        </w:numPr>
      </w:pPr>
      <w:r>
        <w:t xml:space="preserve">Por todo o exposto, solicita‑se a V. Exa. que, nos termos do artigo 382.º do CPC,</w:t>
      </w:r>
      <w:r>
        <w:t xml:space="preserve"> </w:t>
      </w:r>
      <w:r>
        <w:rPr>
          <w:b/>
          <w:bCs/>
        </w:rPr>
        <w:t xml:space="preserve">decrete a revisão da sentença</w:t>
      </w:r>
      <w:r>
        <w:t xml:space="preserve"> </w:t>
      </w:r>
      <w:r>
        <w:t xml:space="preserve">e proceda à extinção da condenação, nos termos dos pedidos (a) a (d) supra indicados.</w:t>
      </w:r>
    </w:p>
    <w:p>
      <w:pPr>
        <w:pStyle w:val="FirstParagraph"/>
      </w:pPr>
      <w:r>
        <w:t xml:space="preserve">Nestes termos, pede deferimento.</w:t>
      </w:r>
    </w:p>
    <w:p>
      <w:pPr>
        <w:pStyle w:val="BodyText"/>
      </w:pPr>
      <w:r>
        <w:rPr>
          <w:b/>
          <w:bCs/>
        </w:rPr>
        <w:t xml:space="preserve">Lisboa, 15 de março de 2024</w:t>
      </w:r>
    </w:p>
    <w:p>
      <w:r>
        <w:pict>
          <v:rect style="width:0;height:1.5pt" o:hralign="center" o:hrstd="t" o:hr="t"/>
        </w:pict>
      </w:r>
    </w:p>
    <w:p>
      <w:pPr>
        <w:pStyle w:val="FirstParagraph"/>
      </w:pPr>
      <w:r>
        <w:rPr>
          <w:b/>
          <w:bCs/>
        </w:rPr>
        <w:t xml:space="preserve">Dr. Marta Santos</w:t>
      </w:r>
      <w:r>
        <w:br/>
      </w:r>
      <w:r>
        <w:t xml:space="preserve">Procuradora do Ministério Público</w:t>
      </w:r>
      <w:r>
        <w:br/>
      </w:r>
      <w:r>
        <w:t xml:space="preserve">OA 54321</w:t>
      </w:r>
    </w:p>
    <w:p>
      <w:pPr>
        <w:pStyle w:val="BodyText"/>
      </w:pPr>
      <w:r>
        <w:rPr>
          <w:b/>
          <w:bCs/>
        </w:rPr>
        <w:t xml:space="preserve">Dr. Ana Pereira</w:t>
      </w:r>
      <w:r>
        <w:br/>
      </w:r>
      <w:r>
        <w:t xml:space="preserve">Advogada de defesa (representando o réu)</w:t>
      </w:r>
      <w:r>
        <w:br/>
      </w:r>
      <w:r>
        <w:t xml:space="preserve">OA 12345</w:t>
      </w:r>
    </w:p>
    <w:p>
      <w:pPr>
        <w:pStyle w:val="BodyText"/>
      </w:pPr>
      <w:r>
        <w:rPr>
          <w:b/>
          <w:bCs/>
        </w:rPr>
        <w:t xml:space="preserve">Dr. Luís Carvalho</w:t>
      </w:r>
      <w:r>
        <w:br/>
      </w:r>
      <w:r>
        <w:t xml:space="preserve">Advogado de defesa (representando o réu)</w:t>
      </w:r>
      <w:r>
        <w:br/>
      </w:r>
      <w:r>
        <w:t xml:space="preserve">OA 67890</w:t>
      </w:r>
    </w:p>
    <w:bookmarkEnd w:id="14"/>
    <w:bookmarkEnd w:id="15"/>
    <w:bookmarkEnd w:id="16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414">
    <w:nsid w:val="00A99414"/>
    <w:multiLevelType w:val="multilevel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lvlText w:val="%2."/>
      <w:lvlJc w:val="left"/>
      <w:pPr>
        <w:ind w:left="1440" w:hanging="360"/>
      </w:pPr>
    </w:lvl>
    <w:lvl w:ilvl="2">
      <w:start w:val="4"/>
      <w:numFmt w:val="decimal"/>
      <w:lvlText w:val="%3."/>
      <w:lvlJc w:val="left"/>
      <w:pPr>
        <w:ind w:left="2160" w:hanging="360"/>
      </w:pPr>
    </w:lvl>
    <w:lvl w:ilvl="3">
      <w:start w:val="4"/>
      <w:numFmt w:val="decimal"/>
      <w:lvlText w:val="%4."/>
      <w:lvlJc w:val="left"/>
      <w:pPr>
        <w:ind w:left="2880" w:hanging="360"/>
      </w:pPr>
    </w:lvl>
    <w:lvl w:ilvl="4">
      <w:start w:val="4"/>
      <w:numFmt w:val="decimal"/>
      <w:lvlText w:val="%5."/>
      <w:lvlJc w:val="left"/>
      <w:pPr>
        <w:ind w:left="3600" w:hanging="360"/>
      </w:pPr>
    </w:lvl>
    <w:lvl w:ilvl="5">
      <w:start w:val="4"/>
      <w:numFmt w:val="decimal"/>
      <w:lvlText w:val="%6."/>
      <w:lvlJc w:val="left"/>
      <w:pPr>
        <w:ind w:left="4320" w:hanging="360"/>
      </w:pPr>
    </w:lvl>
    <w:lvl w:ilvl="6">
      <w:start w:val="4"/>
      <w:numFmt w:val="decimal"/>
      <w:lvlText w:val="%7."/>
      <w:lvlJc w:val="left"/>
      <w:pPr>
        <w:ind w:left="5040" w:hanging="360"/>
      </w:pPr>
    </w:lvl>
    <w:lvl w:ilvl="7">
      <w:start w:val="4"/>
      <w:numFmt w:val="decimal"/>
      <w:lvlText w:val="%8."/>
      <w:lvlJc w:val="left"/>
      <w:pPr>
        <w:ind w:left="5760" w:hanging="360"/>
      </w:pPr>
    </w:lvl>
    <w:lvl w:ilvl="8">
      <w:start w:val="4"/>
      <w:numFmt w:val="decimal"/>
      <w:lvlText w:val="%9."/>
      <w:lvlJc w:val="left"/>
      <w:pPr>
        <w:ind w:left="6480" w:hanging="360"/>
      </w:pPr>
    </w:lvl>
  </w:abstractNum>
  <w:abstractNum w:abstractNumId="99416">
    <w:nsid w:val="00A99416"/>
    <w:multiLevelType w:val="multilevel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lvlText w:val="%2."/>
      <w:lvlJc w:val="left"/>
      <w:pPr>
        <w:ind w:left="1440" w:hanging="360"/>
      </w:pPr>
    </w:lvl>
    <w:lvl w:ilvl="2">
      <w:start w:val="6"/>
      <w:numFmt w:val="decimal"/>
      <w:lvlText w:val="%3."/>
      <w:lvlJc w:val="left"/>
      <w:pPr>
        <w:ind w:left="2160" w:hanging="360"/>
      </w:pPr>
    </w:lvl>
    <w:lvl w:ilvl="3">
      <w:start w:val="6"/>
      <w:numFmt w:val="decimal"/>
      <w:lvlText w:val="%4."/>
      <w:lvlJc w:val="left"/>
      <w:pPr>
        <w:ind w:left="2880" w:hanging="360"/>
      </w:pPr>
    </w:lvl>
    <w:lvl w:ilvl="4">
      <w:start w:val="6"/>
      <w:numFmt w:val="decimal"/>
      <w:lvlText w:val="%5."/>
      <w:lvlJc w:val="left"/>
      <w:pPr>
        <w:ind w:left="3600" w:hanging="360"/>
      </w:pPr>
    </w:lvl>
    <w:lvl w:ilvl="5">
      <w:start w:val="6"/>
      <w:numFmt w:val="decimal"/>
      <w:lvlText w:val="%6."/>
      <w:lvlJc w:val="left"/>
      <w:pPr>
        <w:ind w:left="4320" w:hanging="360"/>
      </w:pPr>
    </w:lvl>
    <w:lvl w:ilvl="6">
      <w:start w:val="6"/>
      <w:numFmt w:val="decimal"/>
      <w:lvlText w:val="%7."/>
      <w:lvlJc w:val="left"/>
      <w:pPr>
        <w:ind w:left="5040" w:hanging="360"/>
      </w:pPr>
    </w:lvl>
    <w:lvl w:ilvl="7">
      <w:start w:val="6"/>
      <w:numFmt w:val="decimal"/>
      <w:lvlText w:val="%8."/>
      <w:lvlJc w:val="left"/>
      <w:pPr>
        <w:ind w:left="5760" w:hanging="360"/>
      </w:pPr>
    </w:lvl>
    <w:lvl w:ilvl="8">
      <w:start w:val="6"/>
      <w:numFmt w:val="decimal"/>
      <w:lvlText w:val="%9."/>
      <w:lvlJc w:val="left"/>
      <w:pPr>
        <w:ind w:left="6480" w:hanging="360"/>
      </w:pPr>
    </w:lvl>
  </w:abstractNum>
  <w:abstractNum w:abstractNumId="99417">
    <w:nsid w:val="00A99417"/>
    <w:multiLevelType w:val="multilevel"/>
    <w:lvl w:ilvl="0">
      <w:start w:val="7"/>
      <w:numFmt w:val="decimal"/>
      <w:lvlText w:val="%1."/>
      <w:lvlJc w:val="left"/>
      <w:pPr>
        <w:ind w:left="720" w:hanging="360"/>
      </w:pPr>
    </w:lvl>
    <w:lvl w:ilvl="1">
      <w:start w:val="7"/>
      <w:numFmt w:val="decimal"/>
      <w:lvlText w:val="%2."/>
      <w:lvlJc w:val="left"/>
      <w:pPr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</w:lvl>
    <w:lvl w:ilvl="3">
      <w:start w:val="7"/>
      <w:numFmt w:val="decimal"/>
      <w:lvlText w:val="%4."/>
      <w:lvlJc w:val="left"/>
      <w:pPr>
        <w:ind w:left="2880" w:hanging="360"/>
      </w:pPr>
    </w:lvl>
    <w:lvl w:ilvl="4">
      <w:start w:val="7"/>
      <w:numFmt w:val="decimal"/>
      <w:lvlText w:val="%5."/>
      <w:lvlJc w:val="left"/>
      <w:pPr>
        <w:ind w:left="3600" w:hanging="360"/>
      </w:pPr>
    </w:lvl>
    <w:lvl w:ilvl="5">
      <w:start w:val="7"/>
      <w:numFmt w:val="decimal"/>
      <w:lvlText w:val="%6."/>
      <w:lvlJc w:val="left"/>
      <w:pPr>
        <w:ind w:left="4320" w:hanging="360"/>
      </w:pPr>
    </w:lvl>
    <w:lvl w:ilvl="6">
      <w:start w:val="7"/>
      <w:numFmt w:val="decimal"/>
      <w:lvlText w:val="%7."/>
      <w:lvlJc w:val="left"/>
      <w:pPr>
        <w:ind w:left="5040" w:hanging="360"/>
      </w:pPr>
    </w:lvl>
    <w:lvl w:ilvl="7">
      <w:start w:val="7"/>
      <w:numFmt w:val="decimal"/>
      <w:lvlText w:val="%8."/>
      <w:lvlJc w:val="left"/>
      <w:pPr>
        <w:ind w:left="5760" w:hanging="360"/>
      </w:pPr>
    </w:lvl>
    <w:lvl w:ilvl="8">
      <w:start w:val="7"/>
      <w:numFmt w:val="decimal"/>
      <w:lvlText w:val="%9."/>
      <w:lvlJc w:val="left"/>
      <w:pPr>
        <w:ind w:left="6480" w:hanging="360"/>
      </w:pPr>
    </w:lvl>
  </w:abstractNum>
  <w:abstractNum w:abstractNumId="99721">
    <w:nsid w:val="00A99721"/>
    <w:multiLevelType w:val="multilevel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)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320" w:hanging="360"/>
      </w:pPr>
    </w:lvl>
    <w:lvl w:ilvl="6">
      <w:start w:val="1"/>
      <w:numFmt w:val="lowerLetter"/>
      <w:lvlText w:val="%7)"/>
      <w:lvlJc w:val="left"/>
      <w:pPr>
        <w:ind w:left="5040" w:hanging="360"/>
      </w:pPr>
    </w:lvl>
    <w:lvl w:ilvl="7">
      <w:start w:val="1"/>
      <w:numFmt w:val="lowerLetter"/>
      <w:lvlText w:val="%8)"/>
      <w:lvlJc w:val="left"/>
      <w:pPr>
        <w:ind w:left="5760" w:hanging="360"/>
      </w:pPr>
    </w:lvl>
    <w:lvl w:ilvl="8">
      <w:start w:val="1"/>
      <w:numFmt w:val="lowerLetter"/>
      <w:lvlText w:val="%9)"/>
      <w:lvlJc w:val="left"/>
      <w:pPr>
        <w:ind w:left="6480" w:hanging="360"/>
      </w:pPr>
    </w:lvl>
  </w:abstractNum>
  <w:abstractNum w:abstractNumId="994110">
    <w:nsid w:val="0A994110"/>
    <w:multiLevelType w:val="multilevel"/>
    <w:lvl w:ilvl="0">
      <w:start w:val="10"/>
      <w:numFmt w:val="decimal"/>
      <w:lvlText w:val="%1."/>
      <w:lvlJc w:val="left"/>
      <w:pPr>
        <w:ind w:left="720" w:hanging="360"/>
      </w:pPr>
    </w:lvl>
    <w:lvl w:ilvl="1">
      <w:start w:val="10"/>
      <w:numFmt w:val="decimal"/>
      <w:lvlText w:val="%2."/>
      <w:lvlJc w:val="left"/>
      <w:pPr>
        <w:ind w:left="1440" w:hanging="360"/>
      </w:pPr>
    </w:lvl>
    <w:lvl w:ilvl="2">
      <w:start w:val="10"/>
      <w:numFmt w:val="decimal"/>
      <w:lvlText w:val="%3."/>
      <w:lvlJc w:val="left"/>
      <w:pPr>
        <w:ind w:left="2160" w:hanging="360"/>
      </w:pPr>
    </w:lvl>
    <w:lvl w:ilvl="3">
      <w:start w:val="10"/>
      <w:numFmt w:val="decimal"/>
      <w:lvlText w:val="%4."/>
      <w:lvlJc w:val="left"/>
      <w:pPr>
        <w:ind w:left="2880" w:hanging="360"/>
      </w:pPr>
    </w:lvl>
    <w:lvl w:ilvl="4">
      <w:start w:val="10"/>
      <w:numFmt w:val="decimal"/>
      <w:lvlText w:val="%5."/>
      <w:lvlJc w:val="left"/>
      <w:pPr>
        <w:ind w:left="3600" w:hanging="360"/>
      </w:pPr>
    </w:lvl>
    <w:lvl w:ilvl="5">
      <w:start w:val="10"/>
      <w:numFmt w:val="decimal"/>
      <w:lvlText w:val="%6."/>
      <w:lvlJc w:val="left"/>
      <w:pPr>
        <w:ind w:left="4320" w:hanging="360"/>
      </w:pPr>
    </w:lvl>
    <w:lvl w:ilvl="6">
      <w:start w:val="10"/>
      <w:numFmt w:val="decimal"/>
      <w:lvlText w:val="%7."/>
      <w:lvlJc w:val="left"/>
      <w:pPr>
        <w:ind w:left="5040" w:hanging="360"/>
      </w:pPr>
    </w:lvl>
    <w:lvl w:ilvl="7">
      <w:start w:val="10"/>
      <w:numFmt w:val="decimal"/>
      <w:lvlText w:val="%8."/>
      <w:lvlJc w:val="left"/>
      <w:pPr>
        <w:ind w:left="5760" w:hanging="360"/>
      </w:pPr>
    </w:lvl>
    <w:lvl w:ilvl="8">
      <w:start w:val="10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41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03">
    <w:abstractNumId w:val="9941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04">
    <w:abstractNumId w:val="99417"/>
    <w:lvlOverride w:ilvl="0">
      <w:startOverride w:val="7"/>
    </w:lvlOverride>
    <w:lvlOverride w:ilvl="1">
      <w:startOverride w:val="7"/>
    </w:lvlOverride>
    <w:lvlOverride w:ilvl="2">
      <w:startOverride w:val="7"/>
    </w:lvlOverride>
    <w:lvlOverride w:ilvl="3">
      <w:startOverride w:val="7"/>
    </w:lvlOverride>
    <w:lvlOverride w:ilvl="4">
      <w:startOverride w:val="7"/>
    </w:lvlOverride>
    <w:lvlOverride w:ilvl="5">
      <w:startOverride w:val="7"/>
    </w:lvlOverride>
    <w:lvlOverride w:ilvl="6">
      <w:startOverride w:val="7"/>
    </w:lvlOverride>
    <w:lvlOverride w:ilvl="7">
      <w:startOverride w:val="7"/>
    </w:lvlOverride>
    <w:lvlOverride w:ilvl="8">
      <w:startOverride w:val="7"/>
    </w:lvlOverride>
  </w:num>
  <w:num w:numId="1005">
    <w:abstractNumId w:val="997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110"/>
    <w:lvlOverride w:ilvl="0">
      <w:startOverride w:val="10"/>
    </w:lvlOverride>
    <w:lvlOverride w:ilvl="1">
      <w:startOverride w:val="10"/>
    </w:lvlOverride>
    <w:lvlOverride w:ilvl="2">
      <w:startOverride w:val="10"/>
    </w:lvlOverride>
    <w:lvlOverride w:ilvl="3">
      <w:startOverride w:val="10"/>
    </w:lvlOverride>
    <w:lvlOverride w:ilvl="4">
      <w:startOverride w:val="10"/>
    </w:lvlOverride>
    <w:lvlOverride w:ilvl="5">
      <w:startOverride w:val="10"/>
    </w:lvlOverride>
    <w:lvlOverride w:ilvl="6">
      <w:startOverride w:val="10"/>
    </w:lvlOverride>
    <w:lvlOverride w:ilvl="7">
      <w:startOverride w:val="10"/>
    </w:lvlOverride>
    <w:lvlOverride w:ilvl="8">
      <w:startOverride w:val="10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2026-02-22T19:01:58Z</dcterms:created>
  <dcterms:modified xsi:type="dcterms:W3CDTF">2026-02-22T19:01:58Z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